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GOKNR 2Ç25 Sonuçları (Nötr) – PhillipCapital Araştırma</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Göknur Gıda, 2Ç25 konsolide finansallarında yıllık bazda;</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%12 artışla 3,7 milyar TL ciro,</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%47 azalışla 260,9 milyon TL FAVÖK (FAVÖK marjı: %7,1),</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%47 azalışla 270,9 milyon TL ana ortaklık net kârı açıkladı.</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2025 yılının ikinci çeyreğinde şirketin toplam satış hacmi 137,9 bin ton olarak gerçekleşmiş ve geçen yılın aynı dönemine göre %34,2 oranında gerilemiştir (2Ç24: 209,6 bin ton). Toplam hacimdeki daralmaya rağmen %12’lik ciro büyümesi, şirketin fiyatlama gücünü, ürün taleplerindeki değişimi ve ihracatın döviz bazlı katkısını yansıtmaktadır.</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Şirketin ürün bazında satışlarına ve yıllık değişimlerine bakıldığında, konsantre ürünler %18 artışla 38 bin ton seviyesine yükselirken NFC, püre ve püre konsantre satışları %50 artışla 10,4 bin ton olarak gerçekleşmiştir. Taze meyve satışları %10,3 gerileyerek 8,2 bin ton, perakende ürün satışları ise %10 düşüşle 24 bin ton seviyesine inmiştir.</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Satış gelirlerinin bölgesel dağılımına bakıldığında, en büyük paya %51 ile Amerika-Kanada bölgesi sahiptir (2Ç24: %41,9). Türkiye’nin payı ise %23,4’e gerileyerek (2Ç24: %33,6) önemli bir düşüş kaydetmiştir. Avrupa bölgesi %11,6 pay ile önceki yıla göre %87 büyüme göstermiştir. Geriye kalan %14,1’lik kısımda, Birleşik Krallık (%7) ve Asya Pasifik (%3,2) bölgelerinin payları öne çıkmaktadır.</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2025 yılının ilk yarısında şirketin toplam gelirlerinin %77,7’si yurt dışı satışlardan elde edilmiştir. Geçen yılın aynı döneminde bu oran %67,3 seviyesindeydi. Şirketin ihracat ağının genişliği, sahip olduğu coğrafi çeşitlilik sayesinde riskleri azaltan önemli bir rekabet avantajı sağlamaktadır.</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Şirket bu dönemde özellikle ABD pazarına yönelik satışlarında önemli bir operasyonel değişiklik gerçekleştirmiştir. Önceki dönemde müşteri teslim maliyetlerini üstlenen şirket, 2Ç25 itibarıyla bu yöntemi değiştirerek, ABD’deki bayilere nakliye maliyetleri hariç satış yapma modeline geçmiştir. Bu uygulama, lojistik ve teslimat maliyetlerinin şirket üzerindeki yükünü azaltırken, kârlılığın korunmasına ve maliyetlerin daha öngörülebilir hale gelmesine katkı sağlamaktadır.</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lastRenderedPageBreak/>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2Ç25 itibarıyla şirketin net borç pozisyonu 1,8 milyar TL seviyesinde olup bir önceki çeyreğe göre %32 iyileşme (1Ç25: 2,7 milyar TL) gerçekleşmiştir. Şirketin güçlü özkaynak yapısı ile birlikte değerlendirildiğinde, net borç seviyesinin yönetilebilir düzeyde olduğunu değerlendiriyoruz.</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Şirketin ciroda büyüme elde etmesine rağmen, toplam satış hacmindeki daralma, FAVÖK ve net kârdaki gerilemeler operasyonel tarafta sınırlı bir görünüm oluşturmuştur. Güçlenen ihracat ağı ve yönetilebilir borçluluk seviyesi olumlu noktalar olmakla birlikte, kârlılık tarafındaki zayıflama nedeniyle sonuçları nötr olarak değerlendiriyoruz.</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 </w:t>
      </w:r>
    </w:p>
    <w:p w:rsidR="000A41AB" w:rsidRPr="000A41AB" w:rsidRDefault="000A41AB" w:rsidP="000A41AB">
      <w:pPr>
        <w:spacing w:before="100" w:beforeAutospacing="1" w:after="100" w:afterAutospacing="1" w:line="240" w:lineRule="auto"/>
        <w:rPr>
          <w:rFonts w:ascii="Times New Roman" w:eastAsia="Times New Roman" w:hAnsi="Times New Roman" w:cs="Times New Roman"/>
          <w:sz w:val="24"/>
          <w:szCs w:val="24"/>
          <w:lang w:eastAsia="tr-TR"/>
        </w:rPr>
      </w:pPr>
      <w:r w:rsidRPr="000A41AB">
        <w:rPr>
          <w:rFonts w:ascii="Times New Roman" w:eastAsia="Times New Roman" w:hAnsi="Times New Roman" w:cs="Times New Roman"/>
          <w:sz w:val="24"/>
          <w:szCs w:val="24"/>
          <w:lang w:eastAsia="tr-TR"/>
        </w:rPr>
        <w:t>Şirketin mevcut çarpanları; F/K 8,3x ve PD/DD 0,97x seviyesindedir. Bu göstergeler, şirketin görece iskontolu işlem gördüğünü, ancak kârlılıkta görülen zayıflama nedeniyle piyasa tarafından temkinli fiyatlandığını işaret etmektedir.</w:t>
      </w:r>
    </w:p>
    <w:p w:rsidR="001412FD" w:rsidRPr="000A41AB" w:rsidRDefault="001412FD" w:rsidP="000A41AB">
      <w:bookmarkStart w:id="0" w:name="_GoBack"/>
      <w:bookmarkEnd w:id="0"/>
    </w:p>
    <w:sectPr w:rsidR="001412FD" w:rsidRPr="000A4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77"/>
    <w:rsid w:val="000A41AB"/>
    <w:rsid w:val="001412FD"/>
    <w:rsid w:val="0047602B"/>
    <w:rsid w:val="00B63D39"/>
    <w:rsid w:val="00EA63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60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60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05661">
      <w:bodyDiv w:val="1"/>
      <w:marLeft w:val="0"/>
      <w:marRight w:val="0"/>
      <w:marTop w:val="0"/>
      <w:marBottom w:val="0"/>
      <w:divBdr>
        <w:top w:val="none" w:sz="0" w:space="0" w:color="auto"/>
        <w:left w:val="none" w:sz="0" w:space="0" w:color="auto"/>
        <w:bottom w:val="none" w:sz="0" w:space="0" w:color="auto"/>
        <w:right w:val="none" w:sz="0" w:space="0" w:color="auto"/>
      </w:divBdr>
    </w:div>
    <w:div w:id="472911999">
      <w:bodyDiv w:val="1"/>
      <w:marLeft w:val="0"/>
      <w:marRight w:val="0"/>
      <w:marTop w:val="0"/>
      <w:marBottom w:val="0"/>
      <w:divBdr>
        <w:top w:val="none" w:sz="0" w:space="0" w:color="auto"/>
        <w:left w:val="none" w:sz="0" w:space="0" w:color="auto"/>
        <w:bottom w:val="none" w:sz="0" w:space="0" w:color="auto"/>
        <w:right w:val="none" w:sz="0" w:space="0" w:color="auto"/>
      </w:divBdr>
    </w:div>
    <w:div w:id="145478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7</cp:revision>
  <dcterms:created xsi:type="dcterms:W3CDTF">2025-08-20T06:40:00Z</dcterms:created>
  <dcterms:modified xsi:type="dcterms:W3CDTF">2025-08-20T06:44:00Z</dcterms:modified>
</cp:coreProperties>
</file>