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812" w:rsidRPr="00064812" w:rsidRDefault="00064812" w:rsidP="00064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4812">
        <w:rPr>
          <w:rFonts w:ascii="Times New Roman" w:eastAsia="Times New Roman" w:hAnsi="Times New Roman" w:cs="Times New Roman"/>
          <w:sz w:val="24"/>
          <w:szCs w:val="24"/>
          <w:lang w:eastAsia="tr-TR"/>
        </w:rPr>
        <w:t>Sasa Polyester, 2Ç25 döneminde geçen senenin aynı dönemine kıyasla 10,34 milyar TL zarar elde etti (2Ç24: 2,83 milyar TL net kâr). Açıklanan sonuçları cirodaki düşüş, operasyonel kâr marjındaki belirgin daralma ve yüksek zarar rakamı nedeniyle negatif olarak değerlendiriyoruz.</w:t>
      </w:r>
    </w:p>
    <w:p w:rsidR="00064812" w:rsidRPr="00064812" w:rsidRDefault="00064812" w:rsidP="00064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4812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064812" w:rsidRPr="00064812" w:rsidRDefault="00064812" w:rsidP="00064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4812">
        <w:rPr>
          <w:rFonts w:ascii="Times New Roman" w:eastAsia="Times New Roman" w:hAnsi="Times New Roman" w:cs="Times New Roman"/>
          <w:sz w:val="24"/>
          <w:szCs w:val="24"/>
          <w:lang w:eastAsia="tr-TR"/>
        </w:rPr>
        <w:t>Şirket yılın ikinci çeyreğinde geçen senenin aynı dönemine kıyasla %13 azalışla 12,80 milyar TL ciro açıkladı. Üretim maliyetlerinin ılımlı seyretmesine karşın (%6 azalış) satış gelirlerindeki düşüşün baskın olması nedeniyle brüt kar yıllık bazda %51 gerilemeyle 1,21 milyar TL oldu ve brüt kâr marjı 7,0 puan düşüşle %9,4'e geriledi (2Ç24: %16,8).</w:t>
      </w:r>
    </w:p>
    <w:p w:rsidR="00064812" w:rsidRPr="00064812" w:rsidRDefault="00064812" w:rsidP="00064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4812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064812" w:rsidRPr="00064812" w:rsidRDefault="00064812" w:rsidP="00064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4812">
        <w:rPr>
          <w:rFonts w:ascii="Times New Roman" w:eastAsia="Times New Roman" w:hAnsi="Times New Roman" w:cs="Times New Roman"/>
          <w:sz w:val="24"/>
          <w:szCs w:val="24"/>
          <w:lang w:eastAsia="tr-TR"/>
        </w:rPr>
        <w:t>Sektördeki yoğun rekabet ve maliyet baskıları nedeniyle FAVÖK geçen yılın aynı dönemine göre %56 azalışla 1,16 milyar TL seviyesine geriledi (2Ç24: 2,64 milyar TL). FAVÖK marjı 8,8 puan düşüşle %9,0'a düştü (2Ç24: %17,9).</w:t>
      </w:r>
    </w:p>
    <w:p w:rsidR="00064812" w:rsidRPr="00064812" w:rsidRDefault="00064812" w:rsidP="00064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4812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064812" w:rsidRPr="00064812" w:rsidRDefault="00064812" w:rsidP="00064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4812">
        <w:rPr>
          <w:rFonts w:ascii="Times New Roman" w:eastAsia="Times New Roman" w:hAnsi="Times New Roman" w:cs="Times New Roman"/>
          <w:sz w:val="24"/>
          <w:szCs w:val="24"/>
          <w:lang w:eastAsia="tr-TR"/>
        </w:rPr>
        <w:t>Net finansman giderlerin 24,2 milyar TL seviyesine çıkması (2Ç24: 3,3 milyar TL) şirketin finansal performansını ciddi ölçüde olumsuz etkiledi. Net parasal pozisyon kazancının 14,72 milyar TL seviyesinde gerçekleşmesi (2Ç24: 9,58 milyar TL) ise kısmi telafi sağlasa da vergi öncesi zarar 9,46 milyar TL oldu.</w:t>
      </w:r>
    </w:p>
    <w:p w:rsidR="00064812" w:rsidRPr="00064812" w:rsidRDefault="00064812" w:rsidP="00064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4812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064812" w:rsidRPr="00064812" w:rsidRDefault="00064812" w:rsidP="00064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4812">
        <w:rPr>
          <w:rFonts w:ascii="Times New Roman" w:eastAsia="Times New Roman" w:hAnsi="Times New Roman" w:cs="Times New Roman"/>
          <w:sz w:val="24"/>
          <w:szCs w:val="24"/>
          <w:lang w:eastAsia="tr-TR"/>
        </w:rPr>
        <w:t>Şirket 2025'in ilk yarısında 20,8 milyar TL yatırım harcaması gerçekleştirdi. PTA tesisi (1,75 milyon ton/yıl kapasite, 950 milyon USD) ve PET Resin tesisi (1,1 milyon ton/yıl, 600 milyon USD) yatırımları devam ediyor.</w:t>
      </w:r>
    </w:p>
    <w:p w:rsidR="00064812" w:rsidRPr="00064812" w:rsidRDefault="00064812" w:rsidP="00064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4812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064812" w:rsidRPr="00064812" w:rsidRDefault="00064812" w:rsidP="00064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4812">
        <w:rPr>
          <w:rFonts w:ascii="Times New Roman" w:eastAsia="Times New Roman" w:hAnsi="Times New Roman" w:cs="Times New Roman"/>
          <w:sz w:val="24"/>
          <w:szCs w:val="24"/>
          <w:lang w:eastAsia="tr-TR"/>
        </w:rPr>
        <w:t>Entegre üretim yapısı, güçlü kapasite ve lojistik avantajlarına rağmen sektörel zorluklar devam etti. Şirket 2025 için kapasite kullanım oranını %85'e çıkarma, PTA ve PET yatırımlarıyla ciroda %30-35 büyüme hedeflerini hala koruyor.</w:t>
      </w:r>
    </w:p>
    <w:p w:rsidR="00064812" w:rsidRPr="00064812" w:rsidRDefault="00064812" w:rsidP="00064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4812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064812" w:rsidRPr="00064812" w:rsidRDefault="00064812" w:rsidP="00064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4812">
        <w:rPr>
          <w:rFonts w:ascii="Times New Roman" w:eastAsia="Times New Roman" w:hAnsi="Times New Roman" w:cs="Times New Roman"/>
          <w:sz w:val="24"/>
          <w:szCs w:val="24"/>
          <w:lang w:eastAsia="tr-TR"/>
        </w:rPr>
        <w:t>Güçlü yatırım programına rağmen ciro daralması, FAVÖK marjındaki belirgin gerileme ve yüksek zarar açısından dolayı 2Ç25 sonuçlarını olumsuz olarak değerlendiriyoruz.</w:t>
      </w:r>
    </w:p>
    <w:p w:rsidR="001412FD" w:rsidRPr="00064812" w:rsidRDefault="001412FD" w:rsidP="00064812">
      <w:bookmarkStart w:id="0" w:name="_GoBack"/>
      <w:bookmarkEnd w:id="0"/>
    </w:p>
    <w:sectPr w:rsidR="001412FD" w:rsidRPr="00064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377"/>
    <w:rsid w:val="00064812"/>
    <w:rsid w:val="000A41AB"/>
    <w:rsid w:val="000D69DC"/>
    <w:rsid w:val="001412FD"/>
    <w:rsid w:val="0047602B"/>
    <w:rsid w:val="00702E2D"/>
    <w:rsid w:val="0089042B"/>
    <w:rsid w:val="00B63D39"/>
    <w:rsid w:val="00E223FB"/>
    <w:rsid w:val="00EA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6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6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FARUK ÖZTÜRK</dc:creator>
  <cp:keywords/>
  <dc:description/>
  <cp:lastModifiedBy>ÖMER FARUK ÖZTÜRK</cp:lastModifiedBy>
  <cp:revision>17</cp:revision>
  <dcterms:created xsi:type="dcterms:W3CDTF">2025-08-20T06:40:00Z</dcterms:created>
  <dcterms:modified xsi:type="dcterms:W3CDTF">2025-08-20T07:51:00Z</dcterms:modified>
</cp:coreProperties>
</file>