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50" w:rsidRDefault="00D13D50" w:rsidP="00D13D50"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5582285" cy="7176770"/>
            <wp:effectExtent l="0" t="0" r="0" b="5080"/>
            <wp:docPr id="2" name="Resim 2" descr="cid:image002.png@01DC41A0.D21A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C41A0.D21A16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17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D50" w:rsidRDefault="00D13D50" w:rsidP="00D13D50">
      <w:r>
        <w:t> </w:t>
      </w:r>
    </w:p>
    <w:p w:rsidR="00D13D50" w:rsidRDefault="00D13D50" w:rsidP="00D13D50">
      <w:r>
        <w:t xml:space="preserve">Türkiye Sigorta (TURSG TI) - </w:t>
      </w:r>
      <w:proofErr w:type="spellStart"/>
      <w:r>
        <w:t>PhillipCapital</w:t>
      </w:r>
      <w:proofErr w:type="spellEnd"/>
      <w:r>
        <w:t xml:space="preserve"> 3Ç25 Finansal Sonuçları</w:t>
      </w:r>
    </w:p>
    <w:p w:rsidR="00D13D50" w:rsidRDefault="00D13D50" w:rsidP="00D13D50">
      <w:proofErr w:type="gramStart"/>
      <w:r>
        <w:t>Öneri : Endeks</w:t>
      </w:r>
      <w:proofErr w:type="gramEnd"/>
      <w:r>
        <w:t xml:space="preserve"> Üzeri Getiri / Hedef Fiyat: 15,00</w:t>
      </w:r>
    </w:p>
    <w:p w:rsidR="00D13D50" w:rsidRDefault="00D13D50" w:rsidP="00D13D50">
      <w:r>
        <w:t> </w:t>
      </w:r>
    </w:p>
    <w:p w:rsidR="00D13D50" w:rsidRDefault="00D13D50" w:rsidP="00D13D50">
      <w:r>
        <w:t xml:space="preserve">TURSG 3Ç25’te beklentilere paralel ve yıllık %63 artışla 5,0 milyar TL net kâr ve %100 olan beklentilerin ve geçen senenin aynı döneminin altında %97,7 seviyesinde bileşik </w:t>
      </w:r>
      <w:proofErr w:type="spellStart"/>
      <w:r>
        <w:t>rasyo</w:t>
      </w:r>
      <w:proofErr w:type="spellEnd"/>
      <w:r>
        <w:t xml:space="preserve"> açıkladı (9A24 %97,9). Böylelikle </w:t>
      </w:r>
      <w:proofErr w:type="spellStart"/>
      <w:r>
        <w:t>özsermaye</w:t>
      </w:r>
      <w:proofErr w:type="spellEnd"/>
      <w:r>
        <w:t xml:space="preserve"> karlılığı enflasyonun oldukça üzerinde %55 olarak gerçekleşti.</w:t>
      </w:r>
    </w:p>
    <w:p w:rsidR="00D13D50" w:rsidRDefault="00D13D50" w:rsidP="00D13D50">
      <w:r>
        <w:t> </w:t>
      </w:r>
    </w:p>
    <w:p w:rsidR="00D13D50" w:rsidRDefault="00D13D50" w:rsidP="00D13D50">
      <w:r>
        <w:lastRenderedPageBreak/>
        <w:t xml:space="preserve">* Yılın üçüncü çeyreğinde bir önceki yılın aynı dönemine göre teknik gelir %17, brüt prim üretimi %46 ve yönetilen </w:t>
      </w:r>
      <w:proofErr w:type="gramStart"/>
      <w:r>
        <w:t>portföy</w:t>
      </w:r>
      <w:proofErr w:type="gramEnd"/>
      <w:r>
        <w:t xml:space="preserve"> büyüklüğü (</w:t>
      </w:r>
      <w:proofErr w:type="spellStart"/>
      <w:r>
        <w:t>AuM</w:t>
      </w:r>
      <w:proofErr w:type="spellEnd"/>
      <w:r>
        <w:t>) %52 artış göstermiştir.</w:t>
      </w:r>
    </w:p>
    <w:p w:rsidR="00D13D50" w:rsidRDefault="00D13D50" w:rsidP="00D13D50">
      <w:r>
        <w:t xml:space="preserve">* 9 aylık </w:t>
      </w:r>
      <w:proofErr w:type="gramStart"/>
      <w:r>
        <w:t>periyotta</w:t>
      </w:r>
      <w:proofErr w:type="gramEnd"/>
      <w:r>
        <w:t xml:space="preserve"> tüm </w:t>
      </w:r>
      <w:proofErr w:type="spellStart"/>
      <w:r>
        <w:t>segmentlerde</w:t>
      </w:r>
      <w:proofErr w:type="spellEnd"/>
      <w:r>
        <w:t xml:space="preserve"> prim üretimi artmaya devam etmekte olup toplam prim üretiminde özellikle sağlık branşının payı 500 </w:t>
      </w:r>
      <w:proofErr w:type="spellStart"/>
      <w:r>
        <w:t>bps</w:t>
      </w:r>
      <w:proofErr w:type="spellEnd"/>
      <w:r>
        <w:t xml:space="preserve"> artışla %13 seviyesine yükselmiştir.</w:t>
      </w:r>
    </w:p>
    <w:p w:rsidR="00D13D50" w:rsidRDefault="00D13D50" w:rsidP="00D13D50">
      <w:r>
        <w:t xml:space="preserve">* </w:t>
      </w:r>
      <w:proofErr w:type="spellStart"/>
      <w:r>
        <w:t>Elementer</w:t>
      </w:r>
      <w:proofErr w:type="spellEnd"/>
      <w:r>
        <w:t xml:space="preserve"> sigorta şirketlerinde </w:t>
      </w:r>
      <w:proofErr w:type="spellStart"/>
      <w:r>
        <w:t>iskonto</w:t>
      </w:r>
      <w:proofErr w:type="spellEnd"/>
      <w:r>
        <w:t xml:space="preserve"> oranının %32,5’tan %30,0’a gerilemesi karlılık üzerinde bir miktar negatif etki yaratmıştır.</w:t>
      </w:r>
    </w:p>
    <w:p w:rsidR="00D13D50" w:rsidRDefault="00D13D50" w:rsidP="00D13D50">
      <w:r>
        <w:t>* Yatırım gelirleri yılın ilk 9 ayında geçen senenin aynı dönemine göre %64 yükselerek karlılığı desteklemeye devam etmiştir.</w:t>
      </w:r>
    </w:p>
    <w:p w:rsidR="00D13D50" w:rsidRDefault="00D13D50" w:rsidP="00D13D50">
      <w:r>
        <w:t> </w:t>
      </w:r>
    </w:p>
    <w:p w:rsidR="00D13D50" w:rsidRDefault="00D13D50" w:rsidP="00D13D50">
      <w:r>
        <w:t xml:space="preserve">Arbitraj işlemleri hariç tutulduğunda, yatırım </w:t>
      </w:r>
      <w:proofErr w:type="gramStart"/>
      <w:r>
        <w:t>portföyü</w:t>
      </w:r>
      <w:proofErr w:type="gramEnd"/>
      <w:r>
        <w:t xml:space="preserve"> 76 milyar TL seviyesine ulaşarak yıllık bazda %52 büyüme kaydetmiş ve %42 oranında getiri sağlamıştır. Bu dönemde, ağırlıklı olarak Türk lirası cinsi varlıklara odaklanan temkinli yatırım stratejisi sürmeye devam etti. Son 3 ayda </w:t>
      </w:r>
      <w:proofErr w:type="gramStart"/>
      <w:r>
        <w:t>portföydeki</w:t>
      </w:r>
      <w:proofErr w:type="gramEnd"/>
      <w:r>
        <w:t xml:space="preserve"> devlet tahvili ve </w:t>
      </w:r>
      <w:proofErr w:type="spellStart"/>
      <w:r>
        <w:t>eurobond</w:t>
      </w:r>
      <w:proofErr w:type="spellEnd"/>
      <w:r>
        <w:t xml:space="preserve"> oranlarının arttığı; yatırım fonları ve TL mevduat oranlarının azaldığı söylenebilir</w:t>
      </w:r>
    </w:p>
    <w:p w:rsidR="00D13D50" w:rsidRDefault="00D13D50" w:rsidP="00D13D50">
      <w:r>
        <w:t> </w:t>
      </w:r>
    </w:p>
    <w:p w:rsidR="00D13D50" w:rsidRDefault="00D13D50" w:rsidP="00D13D50">
      <w:r>
        <w:t xml:space="preserve">Türkiye'nin gelişmekte olan ülkelere kıyasla halen düşük kalan sigorta </w:t>
      </w:r>
      <w:proofErr w:type="spellStart"/>
      <w:r>
        <w:t>penetrasyon</w:t>
      </w:r>
      <w:proofErr w:type="spellEnd"/>
      <w:r>
        <w:t xml:space="preserve"> oranı, sağlık </w:t>
      </w:r>
      <w:proofErr w:type="gramStart"/>
      <w:r>
        <w:t>branşındaki</w:t>
      </w:r>
      <w:proofErr w:type="gramEnd"/>
      <w:r>
        <w:t xml:space="preserve"> sürdürülebilir büyüme, yüksek sermaye yeterliliği ve güçlü finansal kârlılık nedeniyle </w:t>
      </w:r>
      <w:proofErr w:type="spellStart"/>
      <w:r>
        <w:t>TURSG’yi</w:t>
      </w:r>
      <w:proofErr w:type="spellEnd"/>
      <w:r>
        <w:t xml:space="preserve"> beğenmeye devam ediyoruz. </w:t>
      </w:r>
    </w:p>
    <w:p w:rsidR="00D13D50" w:rsidRDefault="00D13D50" w:rsidP="00D13D50">
      <w:r>
        <w:t> </w:t>
      </w:r>
    </w:p>
    <w:p w:rsidR="00D13D50" w:rsidRDefault="00D13D50" w:rsidP="00D13D50">
      <w:r>
        <w:t xml:space="preserve">2025 ve 2026 kar tahminlerimize göre şirket sırasıyla 4,51x ve 3,43x F/K çarpanlarıyla işlem görmekte olup </w:t>
      </w:r>
      <w:proofErr w:type="spellStart"/>
      <w:r>
        <w:t>TURSG’yi</w:t>
      </w:r>
      <w:proofErr w:type="spellEnd"/>
      <w:r>
        <w:t xml:space="preserve"> 15,00 TL hedef fiyat ve Endeks Üzeri Getiri önerisiyle model </w:t>
      </w:r>
      <w:proofErr w:type="gramStart"/>
      <w:r>
        <w:t>portföyümüzde</w:t>
      </w:r>
      <w:proofErr w:type="gramEnd"/>
      <w:r>
        <w:t xml:space="preserve"> tutmaya devam ediyoruz.</w:t>
      </w:r>
    </w:p>
    <w:p w:rsidR="00D13D50" w:rsidRDefault="00D13D50" w:rsidP="00D13D50">
      <w:r>
        <w:t> </w:t>
      </w:r>
    </w:p>
    <w:p w:rsidR="00D13D50" w:rsidRDefault="00D13D50" w:rsidP="00D13D50">
      <w:proofErr w:type="spellStart"/>
      <w:r>
        <w:rPr>
          <w:b/>
          <w:bCs/>
          <w:color w:val="0B0864"/>
          <w:lang w:eastAsia="tr-TR"/>
        </w:rPr>
        <w:t>PhillipCapital</w:t>
      </w:r>
      <w:proofErr w:type="spellEnd"/>
      <w:r>
        <w:rPr>
          <w:b/>
          <w:bCs/>
          <w:color w:val="0B0864"/>
          <w:lang w:eastAsia="tr-TR"/>
        </w:rPr>
        <w:t xml:space="preserve"> Research</w:t>
      </w:r>
    </w:p>
    <w:p w:rsidR="00D13D50" w:rsidRDefault="00D13D50" w:rsidP="00D13D50">
      <w:pPr>
        <w:jc w:val="center"/>
        <w:rPr>
          <w:rFonts w:eastAsia="Times New Roman"/>
          <w:color w:val="23538D"/>
          <w:sz w:val="22"/>
          <w:szCs w:val="22"/>
          <w:lang w:eastAsia="tr-TR"/>
        </w:rPr>
      </w:pPr>
      <w:r>
        <w:rPr>
          <w:rFonts w:eastAsia="Times New Roman"/>
          <w:color w:val="23538D"/>
          <w:sz w:val="22"/>
          <w:szCs w:val="22"/>
          <w:lang w:eastAsia="tr-TR"/>
        </w:rPr>
        <w:pict>
          <v:rect id="_x0000_i1027" style="width:453.6pt;height:1.5pt" o:hralign="center" o:hrstd="t" o:hrnoshade="t" o:hr="t" fillcolor="#0b0864" stroked="f"/>
        </w:pict>
      </w:r>
    </w:p>
    <w:p w:rsidR="00D13D50" w:rsidRDefault="00D13D50" w:rsidP="00D13D50">
      <w:r>
        <w:rPr>
          <w:noProof/>
          <w:color w:val="000000"/>
          <w:lang w:eastAsia="tr-TR"/>
        </w:rPr>
        <w:drawing>
          <wp:inline distT="0" distB="0" distL="0" distR="0">
            <wp:extent cx="1934845" cy="467995"/>
            <wp:effectExtent l="0" t="0" r="8255" b="8255"/>
            <wp:docPr id="1" name="Resim 1" descr="1751364940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5136494081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999" w:rsidRDefault="00376999"/>
    <w:sectPr w:rsidR="0037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50"/>
    <w:rsid w:val="00376999"/>
    <w:rsid w:val="00D1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FB0EF-047D-48D7-8936-D430E7A7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D50"/>
    <w:pPr>
      <w:spacing w:after="0" w:line="240" w:lineRule="auto"/>
    </w:pPr>
    <w:rPr>
      <w:rFonts w:ascii="Calibri" w:hAnsi="Calibri" w:cs="Calibri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13D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C41A0.5C7757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2.png@01DC41A0.D21A16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2025-10-20T06:13:00Z</dcterms:created>
  <dcterms:modified xsi:type="dcterms:W3CDTF">2025-10-20T06:13:00Z</dcterms:modified>
</cp:coreProperties>
</file>