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66" w:rsidRDefault="00D47E66" w:rsidP="00D47E66">
      <w:pPr>
        <w:shd w:val="clear" w:color="auto" w:fill="FFFFFF"/>
        <w:spacing w:after="0" w:line="240" w:lineRule="auto"/>
        <w:textAlignment w:val="baseline"/>
        <w:outlineLvl w:val="0"/>
        <w:rPr>
          <w:rFonts w:ascii="Arial" w:eastAsia="Times New Roman" w:hAnsi="Arial" w:cs="Arial"/>
          <w:b/>
          <w:bCs/>
          <w:color w:val="000000"/>
          <w:kern w:val="36"/>
          <w:sz w:val="48"/>
          <w:szCs w:val="48"/>
          <w:lang w:eastAsia="tr-TR"/>
        </w:rPr>
      </w:pPr>
      <w:bookmarkStart w:id="0" w:name="_GoBack"/>
      <w:r w:rsidRPr="00D47E66">
        <w:rPr>
          <w:rFonts w:ascii="Arial" w:eastAsia="Times New Roman" w:hAnsi="Arial" w:cs="Arial"/>
          <w:b/>
          <w:bCs/>
          <w:color w:val="000000"/>
          <w:kern w:val="36"/>
          <w:sz w:val="48"/>
          <w:szCs w:val="48"/>
          <w:lang w:eastAsia="tr-TR"/>
        </w:rPr>
        <w:t>Piramit Menkul Haftalık Hisse Önerileri</w:t>
      </w:r>
    </w:p>
    <w:bookmarkEnd w:id="0"/>
    <w:p w:rsidR="00D47E66" w:rsidRDefault="00D47E66" w:rsidP="00D47E66">
      <w:pPr>
        <w:shd w:val="clear" w:color="auto" w:fill="FFFFFF"/>
        <w:spacing w:after="0" w:line="240" w:lineRule="auto"/>
        <w:textAlignment w:val="baseline"/>
        <w:outlineLvl w:val="0"/>
        <w:rPr>
          <w:rFonts w:ascii="Arial" w:eastAsia="Times New Roman" w:hAnsi="Arial" w:cs="Arial"/>
          <w:b/>
          <w:bCs/>
          <w:color w:val="000000"/>
          <w:kern w:val="36"/>
          <w:sz w:val="48"/>
          <w:szCs w:val="48"/>
          <w:lang w:eastAsia="tr-TR"/>
        </w:rPr>
      </w:pPr>
    </w:p>
    <w:p w:rsidR="00D47E66" w:rsidRDefault="00D47E66" w:rsidP="00D47E66">
      <w:pPr>
        <w:shd w:val="clear" w:color="auto" w:fill="FFFFFF"/>
        <w:spacing w:after="0" w:line="240" w:lineRule="auto"/>
        <w:textAlignment w:val="baseline"/>
        <w:outlineLvl w:val="0"/>
        <w:rPr>
          <w:rFonts w:ascii="Arial" w:eastAsia="Times New Roman" w:hAnsi="Arial" w:cs="Arial"/>
          <w:b/>
          <w:bCs/>
          <w:color w:val="000000"/>
          <w:kern w:val="36"/>
          <w:sz w:val="48"/>
          <w:szCs w:val="48"/>
          <w:lang w:eastAsia="tr-TR"/>
        </w:rPr>
      </w:pPr>
      <w:r>
        <w:rPr>
          <w:noProof/>
          <w:lang w:eastAsia="tr-TR"/>
        </w:rPr>
        <w:drawing>
          <wp:inline distT="0" distB="0" distL="0" distR="0">
            <wp:extent cx="5760720" cy="1283194"/>
            <wp:effectExtent l="0" t="0" r="0" b="0"/>
            <wp:docPr id="1" name="Resim 1" descr="https://www.hisseonerileri.com/wp-content/uploads/2024/07/piramit-menkul-haftalik-teknik-takip-listesi-26-07-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isseonerileri.com/wp-content/uploads/2024/07/piramit-menkul-haftalik-teknik-takip-listesi-26-07-202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283194"/>
                    </a:xfrm>
                    <a:prstGeom prst="rect">
                      <a:avLst/>
                    </a:prstGeom>
                    <a:noFill/>
                    <a:ln>
                      <a:noFill/>
                    </a:ln>
                  </pic:spPr>
                </pic:pic>
              </a:graphicData>
            </a:graphic>
          </wp:inline>
        </w:drawing>
      </w:r>
    </w:p>
    <w:p w:rsidR="00D47E66" w:rsidRDefault="00D47E66" w:rsidP="00D47E66">
      <w:pPr>
        <w:shd w:val="clear" w:color="auto" w:fill="FFFFFF"/>
        <w:spacing w:after="0" w:line="240" w:lineRule="auto"/>
        <w:textAlignment w:val="baseline"/>
        <w:outlineLvl w:val="0"/>
        <w:rPr>
          <w:rFonts w:ascii="Arial" w:eastAsia="Times New Roman" w:hAnsi="Arial" w:cs="Arial"/>
          <w:b/>
          <w:bCs/>
          <w:color w:val="000000"/>
          <w:kern w:val="36"/>
          <w:sz w:val="48"/>
          <w:szCs w:val="48"/>
          <w:lang w:eastAsia="tr-TR"/>
        </w:rPr>
      </w:pP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BIST100 Endeksi’nin alış ve satış seviye hesaplamasında mevcut haftanın son işlem günü ile bir önceki haftanın son işlem günü TSİ 17.00 itibarıyla dakikalık kapanış seviyeleri dikkate alınmaktadır.</w:t>
      </w: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Stop-</w:t>
      </w:r>
      <w:proofErr w:type="spellStart"/>
      <w:r>
        <w:rPr>
          <w:rFonts w:ascii="Arial" w:hAnsi="Arial" w:cs="Arial"/>
          <w:color w:val="000000"/>
          <w:sz w:val="21"/>
          <w:szCs w:val="21"/>
        </w:rPr>
        <w:t>Loss</w:t>
      </w:r>
      <w:proofErr w:type="spellEnd"/>
      <w:r>
        <w:rPr>
          <w:rFonts w:ascii="Arial" w:hAnsi="Arial" w:cs="Arial"/>
          <w:color w:val="000000"/>
          <w:sz w:val="21"/>
          <w:szCs w:val="21"/>
        </w:rPr>
        <w:t xml:space="preserve"> (SL) seviyeleri, hisse senedi belirli bir fiyat seviyesine gerilediğinde yatırımcıların kaybını sınırlamayı hedefleyen teknik analiz </w:t>
      </w:r>
      <w:proofErr w:type="gramStart"/>
      <w:r>
        <w:rPr>
          <w:rFonts w:ascii="Arial" w:hAnsi="Arial" w:cs="Arial"/>
          <w:color w:val="000000"/>
          <w:sz w:val="21"/>
          <w:szCs w:val="21"/>
        </w:rPr>
        <w:t>kriterlerine</w:t>
      </w:r>
      <w:proofErr w:type="gramEnd"/>
      <w:r>
        <w:rPr>
          <w:rFonts w:ascii="Arial" w:hAnsi="Arial" w:cs="Arial"/>
          <w:color w:val="000000"/>
          <w:sz w:val="21"/>
          <w:szCs w:val="21"/>
        </w:rPr>
        <w:t xml:space="preserve"> göre belirlenmiş satış seviyeleridir.</w:t>
      </w: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xml:space="preserve">* Hisse senetleri Teknik Listede eşit olarak </w:t>
      </w:r>
      <w:proofErr w:type="spellStart"/>
      <w:r>
        <w:rPr>
          <w:rFonts w:ascii="Arial" w:hAnsi="Arial" w:cs="Arial"/>
          <w:color w:val="000000"/>
          <w:sz w:val="21"/>
          <w:szCs w:val="21"/>
        </w:rPr>
        <w:t>ağırlıklandırılmakta</w:t>
      </w:r>
      <w:proofErr w:type="spellEnd"/>
      <w:r>
        <w:rPr>
          <w:rFonts w:ascii="Arial" w:hAnsi="Arial" w:cs="Arial"/>
          <w:color w:val="000000"/>
          <w:sz w:val="21"/>
          <w:szCs w:val="21"/>
        </w:rPr>
        <w:t xml:space="preserve"> olup Teknik Listenin performansı hisse senetlerinin performanslarının aritmetik ortalamasına eşittir.</w:t>
      </w: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Hisse senedinin “satış fiyatı” hücresinde (SL) işaretinin bulunması teorik olarak Stop-</w:t>
      </w:r>
      <w:proofErr w:type="spellStart"/>
      <w:r>
        <w:rPr>
          <w:rFonts w:ascii="Arial" w:hAnsi="Arial" w:cs="Arial"/>
          <w:color w:val="000000"/>
          <w:sz w:val="21"/>
          <w:szCs w:val="21"/>
        </w:rPr>
        <w:t>Loss</w:t>
      </w:r>
      <w:proofErr w:type="spellEnd"/>
      <w:r>
        <w:rPr>
          <w:rFonts w:ascii="Arial" w:hAnsi="Arial" w:cs="Arial"/>
          <w:color w:val="000000"/>
          <w:sz w:val="21"/>
          <w:szCs w:val="21"/>
        </w:rPr>
        <w:t xml:space="preserve"> seviyesinin çalıştığı ve satışın </w:t>
      </w:r>
      <w:proofErr w:type="spellStart"/>
      <w:r>
        <w:rPr>
          <w:rFonts w:ascii="Arial" w:hAnsi="Arial" w:cs="Arial"/>
          <w:color w:val="000000"/>
          <w:sz w:val="21"/>
          <w:szCs w:val="21"/>
        </w:rPr>
        <w:t>StopLoss</w:t>
      </w:r>
      <w:proofErr w:type="spellEnd"/>
      <w:r>
        <w:rPr>
          <w:rFonts w:ascii="Arial" w:hAnsi="Arial" w:cs="Arial"/>
          <w:color w:val="000000"/>
          <w:sz w:val="21"/>
          <w:szCs w:val="21"/>
        </w:rPr>
        <w:t xml:space="preserve"> seviyesinden gerçekleştiği anlamına gelmektedir.</w:t>
      </w:r>
    </w:p>
    <w:p w:rsidR="00D47E66" w:rsidRDefault="00D47E66" w:rsidP="00D47E66">
      <w:pPr>
        <w:pStyle w:val="Balk4"/>
        <w:shd w:val="clear" w:color="auto" w:fill="FFFFFF"/>
        <w:textAlignment w:val="baseline"/>
        <w:rPr>
          <w:rFonts w:ascii="Arial" w:hAnsi="Arial" w:cs="Arial"/>
          <w:color w:val="000000"/>
        </w:rPr>
      </w:pPr>
    </w:p>
    <w:p w:rsidR="00D47E66" w:rsidRDefault="00D47E66" w:rsidP="00D47E66">
      <w:pPr>
        <w:pStyle w:val="Balk4"/>
        <w:shd w:val="clear" w:color="auto" w:fill="FFFFFF"/>
        <w:textAlignment w:val="baseline"/>
        <w:rPr>
          <w:rFonts w:ascii="Arial" w:hAnsi="Arial" w:cs="Arial"/>
          <w:color w:val="000000"/>
        </w:rPr>
      </w:pPr>
    </w:p>
    <w:p w:rsidR="00D47E66" w:rsidRDefault="00D47E66" w:rsidP="00D47E66">
      <w:pPr>
        <w:pStyle w:val="Balk4"/>
        <w:shd w:val="clear" w:color="auto" w:fill="FFFFFF"/>
        <w:textAlignment w:val="baseline"/>
        <w:rPr>
          <w:rFonts w:ascii="Arial" w:hAnsi="Arial" w:cs="Arial"/>
          <w:color w:val="000000"/>
        </w:rPr>
      </w:pPr>
      <w:r>
        <w:rPr>
          <w:rFonts w:ascii="Arial" w:hAnsi="Arial" w:cs="Arial"/>
          <w:color w:val="000000"/>
        </w:rPr>
        <w:t>Notlar:</w:t>
      </w: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Haftalık Teknik Takip Listelerinde (“Teknik Liste”) yer alan hisse senetleri, dirençler ve Stop-</w:t>
      </w:r>
      <w:proofErr w:type="spellStart"/>
      <w:r>
        <w:rPr>
          <w:rFonts w:ascii="Arial" w:hAnsi="Arial" w:cs="Arial"/>
          <w:color w:val="000000"/>
          <w:sz w:val="21"/>
          <w:szCs w:val="21"/>
        </w:rPr>
        <w:t>Loss</w:t>
      </w:r>
      <w:proofErr w:type="spellEnd"/>
      <w:r>
        <w:rPr>
          <w:rFonts w:ascii="Arial" w:hAnsi="Arial" w:cs="Arial"/>
          <w:color w:val="000000"/>
          <w:sz w:val="21"/>
          <w:szCs w:val="21"/>
        </w:rPr>
        <w:t xml:space="preserve"> seviyeleri teknik analiz </w:t>
      </w:r>
      <w:proofErr w:type="gramStart"/>
      <w:r>
        <w:rPr>
          <w:rFonts w:ascii="Arial" w:hAnsi="Arial" w:cs="Arial"/>
          <w:color w:val="000000"/>
          <w:sz w:val="21"/>
          <w:szCs w:val="21"/>
        </w:rPr>
        <w:t>kriterlerine</w:t>
      </w:r>
      <w:proofErr w:type="gramEnd"/>
      <w:r>
        <w:rPr>
          <w:rFonts w:ascii="Arial" w:hAnsi="Arial" w:cs="Arial"/>
          <w:color w:val="000000"/>
          <w:sz w:val="21"/>
          <w:szCs w:val="21"/>
        </w:rPr>
        <w:t xml:space="preserve"> göre seçilmiştir. Liste içerisinden bireysel hisse senedi seçimi yapılması beklentilerinize uygun sonuçlar doğurmayabilir.</w:t>
      </w:r>
    </w:p>
    <w:p w:rsidR="00D47E66" w:rsidRDefault="00D47E66" w:rsidP="00D47E66">
      <w:pPr>
        <w:pStyle w:val="NormalWeb"/>
        <w:shd w:val="clear" w:color="auto" w:fill="FFFFFF"/>
        <w:textAlignment w:val="baseline"/>
        <w:rPr>
          <w:rFonts w:ascii="Arial" w:hAnsi="Arial" w:cs="Arial"/>
          <w:color w:val="000000"/>
          <w:sz w:val="21"/>
          <w:szCs w:val="21"/>
        </w:rPr>
      </w:pPr>
      <w:r>
        <w:rPr>
          <w:rFonts w:ascii="Arial" w:hAnsi="Arial" w:cs="Arial"/>
          <w:color w:val="000000"/>
          <w:sz w:val="21"/>
          <w:szCs w:val="21"/>
        </w:rPr>
        <w:t xml:space="preserve">* Hisse senetlerinin performans ölçümünde alış ve satış seviyeleri olarak, mevcut haftanın son işlem günü ile bir önceki haftanın son işlem günü TSİ 17.00 itibarıyla oluşan kapanış fiyatları esas alınmaktadır. Hızlı fiyat hareketlerinden kaynaklı olarak fiyat seviyeleri değişkenlik gösterebilir. Teknik Listede erken satış </w:t>
      </w:r>
      <w:proofErr w:type="spellStart"/>
      <w:r>
        <w:rPr>
          <w:rFonts w:ascii="Arial" w:hAnsi="Arial" w:cs="Arial"/>
          <w:color w:val="000000"/>
          <w:sz w:val="21"/>
          <w:szCs w:val="21"/>
        </w:rPr>
        <w:t>vb</w:t>
      </w:r>
      <w:proofErr w:type="spellEnd"/>
      <w:r>
        <w:rPr>
          <w:rFonts w:ascii="Arial" w:hAnsi="Arial" w:cs="Arial"/>
          <w:color w:val="000000"/>
          <w:sz w:val="21"/>
          <w:szCs w:val="21"/>
        </w:rPr>
        <w:t xml:space="preserve"> istisnai durumların planlanması halinde söz konusu haftanın performans hesaplamasına ilişkin detaylar e-posta yolu ile bildirilir.</w:t>
      </w:r>
    </w:p>
    <w:p w:rsidR="00D47E66" w:rsidRPr="00D47E66" w:rsidRDefault="00D47E66" w:rsidP="00D47E66">
      <w:pPr>
        <w:shd w:val="clear" w:color="auto" w:fill="FFFFFF"/>
        <w:spacing w:after="0" w:line="240" w:lineRule="auto"/>
        <w:textAlignment w:val="baseline"/>
        <w:outlineLvl w:val="0"/>
        <w:rPr>
          <w:rFonts w:ascii="Arial" w:eastAsia="Times New Roman" w:hAnsi="Arial" w:cs="Arial"/>
          <w:b/>
          <w:bCs/>
          <w:color w:val="000000"/>
          <w:kern w:val="36"/>
          <w:sz w:val="48"/>
          <w:szCs w:val="48"/>
          <w:lang w:eastAsia="tr-TR"/>
        </w:rPr>
      </w:pPr>
    </w:p>
    <w:p w:rsidR="00BE2CFA" w:rsidRDefault="00BE2CFA"/>
    <w:sectPr w:rsidR="00BE2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34"/>
    <w:rsid w:val="00BE2CFA"/>
    <w:rsid w:val="00C04C34"/>
    <w:rsid w:val="00D47E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47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D47E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E66"/>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D47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E66"/>
    <w:rPr>
      <w:rFonts w:ascii="Tahoma" w:hAnsi="Tahoma" w:cs="Tahoma"/>
      <w:sz w:val="16"/>
      <w:szCs w:val="16"/>
    </w:rPr>
  </w:style>
  <w:style w:type="character" w:customStyle="1" w:styleId="Balk4Char">
    <w:name w:val="Başlık 4 Char"/>
    <w:basedOn w:val="VarsaylanParagrafYazTipi"/>
    <w:link w:val="Balk4"/>
    <w:uiPriority w:val="9"/>
    <w:semiHidden/>
    <w:rsid w:val="00D47E6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47E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47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D47E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7E66"/>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D47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E66"/>
    <w:rPr>
      <w:rFonts w:ascii="Tahoma" w:hAnsi="Tahoma" w:cs="Tahoma"/>
      <w:sz w:val="16"/>
      <w:szCs w:val="16"/>
    </w:rPr>
  </w:style>
  <w:style w:type="character" w:customStyle="1" w:styleId="Balk4Char">
    <w:name w:val="Başlık 4 Char"/>
    <w:basedOn w:val="VarsaylanParagrafYazTipi"/>
    <w:link w:val="Balk4"/>
    <w:uiPriority w:val="9"/>
    <w:semiHidden/>
    <w:rsid w:val="00D47E66"/>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D47E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6491">
      <w:bodyDiv w:val="1"/>
      <w:marLeft w:val="0"/>
      <w:marRight w:val="0"/>
      <w:marTop w:val="0"/>
      <w:marBottom w:val="0"/>
      <w:divBdr>
        <w:top w:val="none" w:sz="0" w:space="0" w:color="auto"/>
        <w:left w:val="none" w:sz="0" w:space="0" w:color="auto"/>
        <w:bottom w:val="none" w:sz="0" w:space="0" w:color="auto"/>
        <w:right w:val="none" w:sz="0" w:space="0" w:color="auto"/>
      </w:divBdr>
    </w:div>
    <w:div w:id="552040241">
      <w:bodyDiv w:val="1"/>
      <w:marLeft w:val="0"/>
      <w:marRight w:val="0"/>
      <w:marTop w:val="0"/>
      <w:marBottom w:val="0"/>
      <w:divBdr>
        <w:top w:val="none" w:sz="0" w:space="0" w:color="auto"/>
        <w:left w:val="none" w:sz="0" w:space="0" w:color="auto"/>
        <w:bottom w:val="none" w:sz="0" w:space="0" w:color="auto"/>
        <w:right w:val="none" w:sz="0" w:space="0" w:color="auto"/>
      </w:divBdr>
    </w:div>
    <w:div w:id="186027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2024-07-27T08:39:00Z</dcterms:created>
  <dcterms:modified xsi:type="dcterms:W3CDTF">2024-07-27T08:39:00Z</dcterms:modified>
</cp:coreProperties>
</file>