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CA" w:rsidRDefault="000517CA" w:rsidP="000517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1"/>
          <w:szCs w:val="31"/>
        </w:rPr>
        <w:t xml:space="preserve">İş Bankası, 4 milyar TL'lik serbest karşılık iptali sayesinde 1Ç24'te 10.348 milyon TL'lik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konsensüs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ve 10.375 milyon TL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tahminlerinin üzerinde 14.048 milyon TL konsolide olmayan net kar bildirdi. İş Bankası'nın net karı bir önceki yılın aynı dönemine göre %9 artarken, 1Ç24'te bir önceki çeyreğe göre %31 düştü ve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özsermaye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karlılığı %21 oldu (serbest karşılık iptaline göre düzeltilmiş %15). Temel operasyonların büyük ölçüde beklentilerimizle aynı doğrultuda olduğunu, yalnızca tahmin edilenden daha düşük iştirak geliri elde edildiğini ve bunun beklenmedik serbest karşılık iptaliyle fazlasıyla dengelendiğini gözlemledik. Özetle, net faiz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marjında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bir miktar düşüş, komisyonlarda güçlü bir artış, faaliyet giderleri baskısının hafiflemesi ve risk maliyetinde bir düşüşün eşlik ettiği güçlü bir hacim büyümesi yaşandı.</w:t>
      </w:r>
    </w:p>
    <w:p w:rsidR="000517CA" w:rsidRDefault="000517CA" w:rsidP="000517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1"/>
          <w:szCs w:val="31"/>
        </w:rPr>
        <w:t xml:space="preserve">Ayrıntılı olarak bakıldığında, KOBİ ve kredi kartları başta olmak üzere tüm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segmentlerdeki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benzer artışların etkisiyle kredi defteri kur etkisinden arındırılmış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bazda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bir önceki çeyreğe göre yaklaşık %9 artarken, YP kredilerde düşük tek haneli bir büyüme yaşandı. Mevduatlar, tamamen döviz mevduatlarının etkisiyle, döviz etkisinden arındırılmış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bazda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çeyreklik yaklaşık %1 arttı. Swapla düzeltilmiş net net faiz marjı, yüksek TL fonlama ve özellikle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swap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maliyetleri nedeniyle çeyrekte yaklaşık 100 baz puan düştü. Bu arada TÜFEX gelirleri, 12 aylık enflasyon beklentisindeki düşüşe paralel olarak çeyrekte hafif düşüş gösterdi. Kurla düzeltilmiş risk maliyeti 1Ç24'te yaklaşık 30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baz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puana düşerek &lt;150 baz puan 2024 beklentisinin oldukça altında kaldı. Komisyonlar, özellikle ödeme sistemlerinin desteğiyle, 1Ç24'te yıllık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bazda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%215 oranında güçlü bir artış göstermeye devam etti. Düzeltilmiş maliyet artış ivmesi ise, yüksek enflasyon, TL'deki değer kaybı ve müşteri edinme maliyetlerinin birleşimi nedeniyle yıllık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bazda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%64'e doğru geriledi. Son olarak, BDDK hoşgörüleri öncesi sermaye oranları, temettü ödemesi ve yıllık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operasyonel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risk hesaplamasının etkisiyle çeyreğe göre düşüş gösterdi;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konsolide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CET-I, 1Ç24 sonu itibarıyla %11,7 seviyesinde bulunuyor.</w:t>
      </w:r>
    </w:p>
    <w:p w:rsidR="000517CA" w:rsidRDefault="000517CA" w:rsidP="000517CA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212529"/>
          <w:sz w:val="31"/>
          <w:szCs w:val="31"/>
        </w:rPr>
      </w:pPr>
      <w:r>
        <w:rPr>
          <w:rFonts w:ascii="Arial" w:hAnsi="Arial" w:cs="Arial"/>
          <w:color w:val="212529"/>
          <w:sz w:val="31"/>
          <w:szCs w:val="31"/>
        </w:rPr>
        <w:t xml:space="preserve">İş Bankası yönetimi 2024 hedeflerini korudu. Buna göre banka,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GSYİH'da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%3,5 büyüme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>: %2,2) ve dönem sonu TÜFE enflasyonunda %40-45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: %45) varsayarken, ~%50 TL kredi </w:t>
      </w:r>
      <w:r>
        <w:rPr>
          <w:rFonts w:ascii="Arial" w:hAnsi="Arial" w:cs="Arial"/>
          <w:color w:val="212529"/>
          <w:sz w:val="31"/>
          <w:szCs w:val="31"/>
        </w:rPr>
        <w:lastRenderedPageBreak/>
        <w:t>büyümesi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>: %46), ~%5 YP kredi büyümesi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: %4), ~50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baz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puan swap etkisinden arındırılmış net faiz marjı genişlemesi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>: sabit), ~150 baz puan kurla düzeltilmiş risk maliyeti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>: 120 baz puan),&gt;%100 komisyon artışı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>: %89) ve ortalama TÜFE faaliyet giderleri artışı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: %51) sonucunda 2024’te&gt;%35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özsermaye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karlılığı (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Tera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: %30) hedefliyor. Bankanın 1Ç24 performansının bizim orijinal beklentilerimizden daha zayıf olduğunu ve yönetimin aslında fazla iyimser olduğunu düşündüğümüz&gt;%35 </w:t>
      </w:r>
      <w:proofErr w:type="spellStart"/>
      <w:r>
        <w:rPr>
          <w:rFonts w:ascii="Arial" w:hAnsi="Arial" w:cs="Arial"/>
          <w:color w:val="212529"/>
          <w:sz w:val="31"/>
          <w:szCs w:val="31"/>
        </w:rPr>
        <w:t>özkaynak</w:t>
      </w:r>
      <w:proofErr w:type="spellEnd"/>
      <w:r>
        <w:rPr>
          <w:rFonts w:ascii="Arial" w:hAnsi="Arial" w:cs="Arial"/>
          <w:color w:val="212529"/>
          <w:sz w:val="31"/>
          <w:szCs w:val="31"/>
        </w:rPr>
        <w:t xml:space="preserve"> getirisi hedefinde bir miktar aşağı yönlü riske işaret ettiğini değerlendiriyoruz. Tahminlerimize göre hisse senedi, 0,60x 2025T PD/DD ve 2,1x 2025T F/K ile nispeten düşük çarpanlarda işlem görüyor. Hisse başına 16,56 TL olan 12 aylık hedef fiyatımız, %3'lük temettü verimi de </w:t>
      </w:r>
      <w:proofErr w:type="gramStart"/>
      <w:r>
        <w:rPr>
          <w:rFonts w:ascii="Arial" w:hAnsi="Arial" w:cs="Arial"/>
          <w:color w:val="212529"/>
          <w:sz w:val="31"/>
          <w:szCs w:val="31"/>
        </w:rPr>
        <w:t>dahil</w:t>
      </w:r>
      <w:proofErr w:type="gramEnd"/>
      <w:r>
        <w:rPr>
          <w:rFonts w:ascii="Arial" w:hAnsi="Arial" w:cs="Arial"/>
          <w:color w:val="212529"/>
          <w:sz w:val="31"/>
          <w:szCs w:val="31"/>
        </w:rPr>
        <w:t xml:space="preserve"> olmak üzere toplam %26'lık bir getiri potansiyeli sunuyor, bu nedenle, şu an İş Bankası için Piyasa Ağırlığında Taşı tavsiyemizi sürdürüyoruz.</w:t>
      </w:r>
    </w:p>
    <w:p w:rsidR="00397D47" w:rsidRDefault="00397D47">
      <w:bookmarkStart w:id="0" w:name="_GoBack"/>
      <w:bookmarkEnd w:id="0"/>
    </w:p>
    <w:sectPr w:rsidR="00397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93"/>
    <w:rsid w:val="000517CA"/>
    <w:rsid w:val="00397D47"/>
    <w:rsid w:val="0048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Faruk Öztürk</dc:creator>
  <cp:keywords/>
  <dc:description/>
  <cp:lastModifiedBy>Ömer Faruk Öztürk</cp:lastModifiedBy>
  <cp:revision>3</cp:revision>
  <dcterms:created xsi:type="dcterms:W3CDTF">2024-05-13T11:05:00Z</dcterms:created>
  <dcterms:modified xsi:type="dcterms:W3CDTF">2024-05-13T11:05:00Z</dcterms:modified>
</cp:coreProperties>
</file>