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908AB" w:rsidRPr="00B908AB" w:rsidTr="00B908AB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908AB" w:rsidRPr="00B908AB">
              <w:trPr>
                <w:trHeight w:val="1005"/>
                <w:tblCellSpacing w:w="0" w:type="dxa"/>
              </w:trPr>
              <w:tc>
                <w:tcPr>
                  <w:tcW w:w="11955" w:type="dxa"/>
                  <w:shd w:val="clear" w:color="auto" w:fill="E5E9ED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908AB" w:rsidRPr="00B908AB" w:rsidRDefault="00B908AB" w:rsidP="00B908AB">
                  <w:pPr>
                    <w:spacing w:after="0" w:line="1005" w:lineRule="atLeast"/>
                    <w:rPr>
                      <w:rFonts w:ascii="Arial" w:eastAsia="Times New Roman" w:hAnsi="Arial" w:cs="Arial"/>
                      <w:b/>
                      <w:bCs/>
                      <w:color w:val="274D94"/>
                      <w:sz w:val="36"/>
                      <w:szCs w:val="36"/>
                      <w:lang w:eastAsia="tr-TR"/>
                    </w:rPr>
                  </w:pPr>
                  <w:bookmarkStart w:id="0" w:name="_GoBack"/>
                  <w:bookmarkEnd w:id="0"/>
                  <w:r w:rsidRPr="00B908A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tr-TR"/>
                    </w:rPr>
                    <w:t> AKBNK 2Ç25'te 11 milyar TL net kar açıkladı</w:t>
                  </w:r>
                </w:p>
              </w:tc>
            </w:tr>
          </w:tbl>
          <w:p w:rsidR="00B908AB" w:rsidRPr="00B908AB" w:rsidRDefault="00B908AB" w:rsidP="00B908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</w:tr>
      <w:tr w:rsidR="00B908AB" w:rsidRPr="00B908AB" w:rsidTr="00B908AB">
        <w:trPr>
          <w:trHeight w:val="6630"/>
          <w:tblCellSpacing w:w="0" w:type="dxa"/>
        </w:trPr>
        <w:tc>
          <w:tcPr>
            <w:tcW w:w="8820" w:type="dxa"/>
            <w:shd w:val="clear" w:color="auto" w:fill="FBFD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b/>
                <w:bCs/>
                <w:color w:val="274D94"/>
                <w:sz w:val="27"/>
                <w:szCs w:val="27"/>
                <w:lang w:eastAsia="tr-TR"/>
              </w:rPr>
              <w:t>Beklentilere Paralel Finansal Sonuçlar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Akbank, 2Ç25’te 11 milyar TL net kar açıkladı; bu rakam piyasa beklentileriyle büyük ölçüde uyumlu gerçekleşti. Net kar, çeyreklik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bazda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%19 gerilerken,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yıllıklandırılmış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özsermaye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kârlılığı (ROE) %17,7 olarak gerçekleşti. Çeyreklik bazda karlılıktaki düşüşün temel nedeni, fonlama maliyetleri ve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swap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giderlerindeki sert artış (+%42 ç/ç) oldu. Öte yandan, beklentilerin altında kalan vergi gideri net karı sınırlı da olsa destekledi.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b/>
                <w:bCs/>
                <w:color w:val="274D94"/>
                <w:sz w:val="27"/>
                <w:szCs w:val="27"/>
                <w:lang w:eastAsia="tr-TR"/>
              </w:rPr>
              <w:t>NIM Toparlanması Gecikti, Beklentiler Aşağı Yönlü Revize Edildi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Banka yönetimi,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yıl sonu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politika faizi varsayımını %30’dan %36’ya yükseltti. Bu nedenle, Net Faiz Marjı (NIM) toparlanmasının 3Ç25’e ötelenmesi bekleniyor. Buna paralel olarak, banka 2025 yılı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özsermaye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karlılığı hedefini %30’dan &gt;%25’e çekti. Daha önce 2,7 puan artışla %5 NIM hedefi paylaşılmışken, bu hedef sadece 70–140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baz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puanlık artışla %3,0–3,5 seviyesine revize edildi.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b/>
                <w:bCs/>
                <w:color w:val="274D94"/>
                <w:sz w:val="27"/>
                <w:szCs w:val="27"/>
                <w:lang w:eastAsia="tr-TR"/>
              </w:rPr>
              <w:t>Düşük LDR, Marj Artışı İçin Önemli Bir Kaldıraç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Akbank’ın net kredi/mevduat oranı (LDR) %78 seviyesinde bulunuyor ve bu durum, faiz gelirlerinin faiz giderlerinden daha hızlı büyümesi için önemli bir alan yaratıyor. Özellikle faizlerin düşüş eğiliminde olduğu bir ortamda, banka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agresif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mevduat rekabetine girmeden kredi hacmini artırarak marjlarını genişletebilir. Mevcut faiz görünümünde aşağı yönlü hareketin sürmesi halinde, önümüzdeki dönemde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LDR’nin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%85 seviyesine yükselmesini bekliyoruz. Bu durum, daha yüksek getirili kredilere yönelim sayesinde Net Faiz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Geliri'nin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(NII) daha güçlü artmasını sağlayacaktır.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b/>
                <w:bCs/>
                <w:color w:val="274D94"/>
                <w:sz w:val="27"/>
                <w:szCs w:val="27"/>
                <w:lang w:eastAsia="tr-TR"/>
              </w:rPr>
              <w:t>MTM Kazançları Sermayeyi Destekliyor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Akbank, 2Ç25 döneminde gerçeğe uygun değer farkı (mark-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to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-market) yoluyla 4,5 milyar TL kazanç elde etti. Bu, 1Ç25’teki 9,2 milyar TL’lik zararın tersine döndüğünü Bankanın yaklaşık 178 milyar TL’lik sabit getirili TL menkul kıymet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portföyü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bulunuyor ve yönetim, bu portföyün vadesini uzatmaya başlamış durumda. Bu strateji, faiz indirimi döngüsü ile birlikte tahvil fiyatlarındaki artıştan daha fazla fayda sağlanmasına imkân tanıyacaktır.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b/>
                <w:bCs/>
                <w:color w:val="274D94"/>
                <w:sz w:val="27"/>
                <w:szCs w:val="27"/>
                <w:lang w:eastAsia="tr-TR"/>
              </w:rPr>
              <w:t>Değerleme</w:t>
            </w:r>
          </w:p>
          <w:p w:rsidR="00B908AB" w:rsidRPr="00B908AB" w:rsidRDefault="00B908AB" w:rsidP="00B908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</w:pPr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lastRenderedPageBreak/>
              <w:t xml:space="preserve">Tahminlerimize göre Akbank, güçlü sermaye yapısı, iyileşen aktif kompozisyonu ve artan NII potansiyeline rağmen, 2026 tahminlerimizle 3,0x F/K ve 0,88x F/DD çarpanlarından işlem görüyor. Piyasa beklentilerinden ayrıştığımız temel noktalar şunlardır: (1) NII tarafında daha olumlu bir görünüm öngörüyoruz; çünkü banka düşük başlangıç LDR seviyesi, daha yüksek tahmini kredi-mevduat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spread’i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ve artan bireysel kredi payı ile avantajlı konumda. (2) Komisyon gelirlerinde gerileme bekliyoruz; çünkü ödeme sistemleri komisyonları faiz oranlarına endeksli şekilde düzenlenmiş durumda. (3) Karşılık giderlerinin 2026 yılında da yüksek kalacağını öngörüyoruz. Değerlememiz için, 2026 </w:t>
            </w:r>
            <w:proofErr w:type="gram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yıl sonu</w:t>
            </w:r>
            <w:proofErr w:type="gram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tahmini defter değerimize 1,32x F/DD çarpanı uyguluyoruz; bu çarpan, kapsamımızdaki bankalar arasında ikinci en yüksek değerleme katsayısı. Buna göre hedef fiyatımızı TL86’dan TL101’e yükseltiyor, tavsiyemizi “Endekse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Paralel”den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“Endeks Üstü </w:t>
            </w:r>
            <w:proofErr w:type="spellStart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>Getiri”ye</w:t>
            </w:r>
            <w:proofErr w:type="spellEnd"/>
            <w:r w:rsidRPr="00B908AB">
              <w:rPr>
                <w:rFonts w:ascii="Arial" w:eastAsia="Times New Roman" w:hAnsi="Arial" w:cs="Arial"/>
                <w:color w:val="274D94"/>
                <w:sz w:val="27"/>
                <w:szCs w:val="27"/>
                <w:lang w:eastAsia="tr-TR"/>
              </w:rPr>
              <w:t xml:space="preserve"> revize ediyoruz. Bu, mevcut fiyat seviyesine göre %51 getiri potansiyeline işaret ediyor</w:t>
            </w:r>
          </w:p>
        </w:tc>
      </w:tr>
    </w:tbl>
    <w:p w:rsidR="00376999" w:rsidRDefault="00376999"/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AB"/>
    <w:rsid w:val="00376999"/>
    <w:rsid w:val="00B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ADFF-9668-4F39-A1FB-25CF377F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2025-07-30T07:27:00Z</dcterms:created>
  <dcterms:modified xsi:type="dcterms:W3CDTF">2025-07-30T07:27:00Z</dcterms:modified>
</cp:coreProperties>
</file>